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FE" w:rsidRPr="005949FE" w:rsidRDefault="005949FE" w:rsidP="005949FE">
      <w:pPr>
        <w:pStyle w:val="Naslov1"/>
      </w:pPr>
      <w:r w:rsidRPr="005949FE">
        <w:t>PRILOG 1</w:t>
      </w:r>
    </w:p>
    <w:p w:rsidR="005949FE" w:rsidRPr="005949FE" w:rsidRDefault="005949FE" w:rsidP="005949FE">
      <w:pPr>
        <w:pStyle w:val="Tijeloteksta"/>
        <w:jc w:val="both"/>
        <w:rPr>
          <w:rFonts w:ascii="Times New Roman" w:hAnsi="Times New Roman"/>
          <w:b/>
          <w:sz w:val="24"/>
        </w:rPr>
      </w:pPr>
    </w:p>
    <w:p w:rsidR="005949FE" w:rsidRPr="005949FE" w:rsidRDefault="005949FE" w:rsidP="005949FE">
      <w:pPr>
        <w:pStyle w:val="Tijeloteksta"/>
        <w:spacing w:before="10"/>
        <w:jc w:val="both"/>
        <w:rPr>
          <w:rFonts w:ascii="Times New Roman" w:hAnsi="Times New Roman"/>
          <w:b/>
          <w:sz w:val="23"/>
        </w:rPr>
      </w:pPr>
    </w:p>
    <w:p w:rsidR="005949FE" w:rsidRPr="005949FE" w:rsidRDefault="005949FE" w:rsidP="005949FE">
      <w:pPr>
        <w:spacing w:before="1"/>
        <w:ind w:left="218"/>
        <w:jc w:val="both"/>
        <w:rPr>
          <w:rFonts w:ascii="Times New Roman" w:hAnsi="Times New Roman"/>
          <w:b/>
        </w:rPr>
      </w:pPr>
      <w:r w:rsidRPr="005949FE">
        <w:rPr>
          <w:rFonts w:ascii="Times New Roman" w:hAnsi="Times New Roman"/>
          <w:b/>
        </w:rPr>
        <w:t>TEHNIČKE SPECIFIKACIJE</w:t>
      </w:r>
    </w:p>
    <w:p w:rsidR="005949FE" w:rsidRDefault="005949FE" w:rsidP="005949FE">
      <w:pPr>
        <w:pStyle w:val="Bezproreda"/>
      </w:pPr>
      <w:r w:rsidRPr="005949FE">
        <w:t xml:space="preserve">Predmet nabave: Opskrba električnom energijom Grada </w:t>
      </w:r>
      <w:r>
        <w:t>Poreča-Parenzo, gradskih tvrtki</w:t>
      </w:r>
      <w:r w:rsidRPr="005949FE">
        <w:t xml:space="preserve"> i proračunskih korisnika </w:t>
      </w:r>
    </w:p>
    <w:p w:rsidR="005949FE" w:rsidRDefault="005949FE" w:rsidP="005949FE">
      <w:pPr>
        <w:pStyle w:val="Bezproreda"/>
      </w:pPr>
    </w:p>
    <w:p w:rsidR="005949FE" w:rsidRPr="005949FE" w:rsidRDefault="005949FE" w:rsidP="005949FE">
      <w:pPr>
        <w:pStyle w:val="Bezproreda"/>
      </w:pPr>
      <w:r w:rsidRPr="005949FE">
        <w:t>TEHNIČKI UVJETI:</w:t>
      </w:r>
    </w:p>
    <w:p w:rsidR="005949FE" w:rsidRPr="005949FE" w:rsidRDefault="005949FE" w:rsidP="005949FE">
      <w:pPr>
        <w:pStyle w:val="Bezproreda"/>
      </w:pPr>
    </w:p>
    <w:p w:rsidR="005949FE" w:rsidRPr="005949FE" w:rsidRDefault="005949FE" w:rsidP="005949FE">
      <w:pPr>
        <w:pStyle w:val="Tijeloteksta"/>
        <w:spacing w:before="8"/>
        <w:ind w:left="218" w:right="784"/>
        <w:jc w:val="both"/>
        <w:rPr>
          <w:rFonts w:ascii="Times New Roman" w:hAnsi="Times New Roman"/>
        </w:rPr>
      </w:pPr>
      <w:r w:rsidRPr="005949FE">
        <w:rPr>
          <w:rFonts w:ascii="Times New Roman" w:hAnsi="Times New Roman"/>
        </w:rPr>
        <w:t xml:space="preserve">Predmet nabave je ugovaranje opskrbe električnom energijom povlaštenog kupca -  na vremensko </w:t>
      </w:r>
      <w:r w:rsidRPr="005949FE">
        <w:rPr>
          <w:rFonts w:ascii="Times New Roman" w:hAnsi="Times New Roman"/>
        </w:rPr>
        <w:t>razdoblje od 4 (četiri) godine.</w:t>
      </w:r>
    </w:p>
    <w:p w:rsidR="005949FE" w:rsidRPr="005949FE" w:rsidRDefault="005949FE" w:rsidP="005949FE">
      <w:pPr>
        <w:pStyle w:val="Tijeloteksta"/>
        <w:jc w:val="both"/>
        <w:rPr>
          <w:rFonts w:ascii="Times New Roman" w:hAnsi="Times New Roman"/>
        </w:rPr>
      </w:pPr>
    </w:p>
    <w:p w:rsidR="005949FE" w:rsidRPr="005949FE" w:rsidRDefault="005949FE" w:rsidP="005949FE">
      <w:pPr>
        <w:pStyle w:val="Tijeloteksta"/>
        <w:spacing w:before="1"/>
        <w:ind w:left="218" w:right="784" w:hanging="1"/>
        <w:jc w:val="both"/>
        <w:rPr>
          <w:rFonts w:ascii="Times New Roman" w:hAnsi="Times New Roman"/>
        </w:rPr>
      </w:pPr>
      <w:r w:rsidRPr="005949FE">
        <w:rPr>
          <w:rFonts w:ascii="Times New Roman" w:hAnsi="Times New Roman"/>
        </w:rPr>
        <w:t>Cilj ovih tehničkih uvjeta je propisati uvjete, postupke i obaveze Ponuditelja za opskrbu električnom energijom (Opskrbljivača) sukladno Zakonu o energiji („Narodne novine“ 120/12,14/14), Zakonu o dopuni Zakona o energiji („Narodne novine“ 95/15, 102/15), Zakonu o tržištu električne energije („Narodne novine“ 22/13), Zakonu o izmjenama i dopunama Zakona o tržištu električne energije („Narodne novine“ 95/15, 102/15), Općim uvjetima za korištenjem mreže i opskrbu električnom energijom („Narodne novine“ 85/15), te ostalim zakonskim propisima i direktivama iz tog područja.</w:t>
      </w:r>
    </w:p>
    <w:p w:rsidR="005949FE" w:rsidRPr="005949FE" w:rsidRDefault="005949FE" w:rsidP="005949FE">
      <w:pPr>
        <w:pStyle w:val="Tijeloteksta"/>
        <w:spacing w:before="10"/>
        <w:jc w:val="both"/>
        <w:rPr>
          <w:rFonts w:ascii="Times New Roman" w:hAnsi="Times New Roman"/>
          <w:sz w:val="21"/>
        </w:rPr>
      </w:pPr>
    </w:p>
    <w:p w:rsidR="005949FE" w:rsidRPr="005949FE" w:rsidRDefault="005949FE" w:rsidP="005949FE">
      <w:pPr>
        <w:pStyle w:val="Tijeloteksta"/>
        <w:ind w:left="218"/>
        <w:jc w:val="both"/>
        <w:rPr>
          <w:rFonts w:ascii="Times New Roman" w:hAnsi="Times New Roman"/>
        </w:rPr>
      </w:pPr>
      <w:r w:rsidRPr="005949FE">
        <w:rPr>
          <w:rFonts w:ascii="Times New Roman" w:hAnsi="Times New Roman"/>
        </w:rPr>
        <w:t>OBRAČUNSKI ELEMENTI I NAČIN OBRAČUNA</w:t>
      </w:r>
    </w:p>
    <w:p w:rsidR="005949FE" w:rsidRPr="005949FE" w:rsidRDefault="005949FE" w:rsidP="005949FE">
      <w:pPr>
        <w:pStyle w:val="Tijeloteksta"/>
        <w:spacing w:before="2" w:line="252" w:lineRule="exact"/>
        <w:ind w:left="218"/>
        <w:jc w:val="both"/>
        <w:rPr>
          <w:rFonts w:ascii="Times New Roman" w:hAnsi="Times New Roman"/>
        </w:rPr>
      </w:pPr>
      <w:r w:rsidRPr="005949FE">
        <w:rPr>
          <w:rFonts w:ascii="Times New Roman" w:hAnsi="Times New Roman"/>
        </w:rPr>
        <w:t>Obračunski elementi na temelju kojih će se vršiti obračun opskrbe električne energije su:</w:t>
      </w:r>
    </w:p>
    <w:p w:rsidR="005949FE" w:rsidRPr="005949FE" w:rsidRDefault="005949FE" w:rsidP="005949FE">
      <w:pPr>
        <w:pStyle w:val="Odlomakpopisa"/>
        <w:numPr>
          <w:ilvl w:val="1"/>
          <w:numId w:val="16"/>
        </w:numPr>
        <w:tabs>
          <w:tab w:val="left" w:pos="815"/>
          <w:tab w:val="left" w:pos="817"/>
        </w:tabs>
        <w:spacing w:line="252" w:lineRule="exact"/>
        <w:jc w:val="both"/>
        <w:rPr>
          <w:rFonts w:ascii="Times New Roman" w:hAnsi="Times New Roman"/>
        </w:rPr>
      </w:pPr>
      <w:r w:rsidRPr="005949FE">
        <w:rPr>
          <w:rFonts w:ascii="Times New Roman" w:hAnsi="Times New Roman"/>
        </w:rPr>
        <w:t>radna energija</w:t>
      </w:r>
      <w:r w:rsidRPr="005949FE">
        <w:rPr>
          <w:rFonts w:ascii="Times New Roman" w:hAnsi="Times New Roman"/>
          <w:spacing w:val="-3"/>
        </w:rPr>
        <w:t xml:space="preserve"> </w:t>
      </w:r>
      <w:r w:rsidRPr="005949FE">
        <w:rPr>
          <w:rFonts w:ascii="Times New Roman" w:hAnsi="Times New Roman"/>
        </w:rPr>
        <w:t>(kWh)</w:t>
      </w:r>
    </w:p>
    <w:p w:rsidR="005949FE" w:rsidRPr="005949FE" w:rsidRDefault="005949FE" w:rsidP="005949FE">
      <w:pPr>
        <w:pStyle w:val="Odlomakpopisa"/>
        <w:numPr>
          <w:ilvl w:val="1"/>
          <w:numId w:val="16"/>
        </w:numPr>
        <w:tabs>
          <w:tab w:val="left" w:pos="815"/>
          <w:tab w:val="left" w:pos="817"/>
        </w:tabs>
        <w:spacing w:before="1" w:line="252" w:lineRule="exact"/>
        <w:jc w:val="both"/>
        <w:rPr>
          <w:rFonts w:ascii="Times New Roman" w:hAnsi="Times New Roman"/>
        </w:rPr>
      </w:pPr>
      <w:r w:rsidRPr="005949FE">
        <w:rPr>
          <w:rFonts w:ascii="Times New Roman" w:hAnsi="Times New Roman"/>
        </w:rPr>
        <w:t>angažirana snaga u doba više tarife</w:t>
      </w:r>
      <w:r w:rsidRPr="005949FE">
        <w:rPr>
          <w:rFonts w:ascii="Times New Roman" w:hAnsi="Times New Roman"/>
          <w:spacing w:val="-5"/>
        </w:rPr>
        <w:t xml:space="preserve"> </w:t>
      </w:r>
      <w:r w:rsidRPr="005949FE">
        <w:rPr>
          <w:rFonts w:ascii="Times New Roman" w:hAnsi="Times New Roman"/>
        </w:rPr>
        <w:t>(kW)</w:t>
      </w:r>
    </w:p>
    <w:p w:rsidR="005949FE" w:rsidRPr="005949FE" w:rsidRDefault="005949FE" w:rsidP="005949FE">
      <w:pPr>
        <w:pStyle w:val="Odlomakpopisa"/>
        <w:numPr>
          <w:ilvl w:val="1"/>
          <w:numId w:val="16"/>
        </w:numPr>
        <w:tabs>
          <w:tab w:val="left" w:pos="815"/>
          <w:tab w:val="left" w:pos="817"/>
        </w:tabs>
        <w:spacing w:line="252" w:lineRule="exact"/>
        <w:jc w:val="both"/>
        <w:rPr>
          <w:rFonts w:ascii="Times New Roman" w:hAnsi="Times New Roman"/>
        </w:rPr>
      </w:pPr>
      <w:r w:rsidRPr="005949FE">
        <w:rPr>
          <w:rFonts w:ascii="Times New Roman" w:hAnsi="Times New Roman"/>
        </w:rPr>
        <w:t>naknada za poticanje proizvodnje iz obnovljivih</w:t>
      </w:r>
      <w:r w:rsidRPr="005949FE">
        <w:rPr>
          <w:rFonts w:ascii="Times New Roman" w:hAnsi="Times New Roman"/>
          <w:spacing w:val="-6"/>
        </w:rPr>
        <w:t xml:space="preserve"> </w:t>
      </w:r>
      <w:r w:rsidRPr="005949FE">
        <w:rPr>
          <w:rFonts w:ascii="Times New Roman" w:hAnsi="Times New Roman"/>
        </w:rPr>
        <w:t>izvora</w:t>
      </w:r>
    </w:p>
    <w:p w:rsidR="005949FE" w:rsidRPr="005949FE" w:rsidRDefault="005949FE" w:rsidP="005949FE">
      <w:pPr>
        <w:pStyle w:val="Odlomakpopisa"/>
        <w:numPr>
          <w:ilvl w:val="1"/>
          <w:numId w:val="16"/>
        </w:numPr>
        <w:tabs>
          <w:tab w:val="left" w:pos="815"/>
          <w:tab w:val="left" w:pos="817"/>
        </w:tabs>
        <w:spacing w:line="252" w:lineRule="exact"/>
        <w:jc w:val="both"/>
        <w:rPr>
          <w:rFonts w:ascii="Times New Roman" w:hAnsi="Times New Roman"/>
        </w:rPr>
      </w:pPr>
      <w:r w:rsidRPr="005949FE">
        <w:rPr>
          <w:rFonts w:ascii="Times New Roman" w:hAnsi="Times New Roman"/>
        </w:rPr>
        <w:t>trošarina za neposlovnu uporabu električne</w:t>
      </w:r>
      <w:r w:rsidRPr="005949FE">
        <w:rPr>
          <w:rFonts w:ascii="Times New Roman" w:hAnsi="Times New Roman"/>
          <w:spacing w:val="-2"/>
        </w:rPr>
        <w:t xml:space="preserve"> </w:t>
      </w:r>
      <w:r w:rsidRPr="005949FE">
        <w:rPr>
          <w:rFonts w:ascii="Times New Roman" w:hAnsi="Times New Roman"/>
        </w:rPr>
        <w:t>energije</w:t>
      </w:r>
    </w:p>
    <w:p w:rsidR="005949FE" w:rsidRPr="005949FE" w:rsidRDefault="005949FE" w:rsidP="005949FE">
      <w:pPr>
        <w:pStyle w:val="Tijeloteksta"/>
        <w:spacing w:before="1"/>
        <w:jc w:val="both"/>
        <w:rPr>
          <w:rFonts w:ascii="Times New Roman" w:hAnsi="Times New Roman"/>
        </w:rPr>
      </w:pPr>
    </w:p>
    <w:p w:rsidR="005949FE" w:rsidRPr="005949FE" w:rsidRDefault="005949FE" w:rsidP="005949FE">
      <w:pPr>
        <w:pStyle w:val="Tijeloteksta"/>
        <w:ind w:left="218" w:right="780"/>
        <w:jc w:val="both"/>
        <w:rPr>
          <w:rFonts w:ascii="Times New Roman" w:hAnsi="Times New Roman"/>
        </w:rPr>
      </w:pPr>
      <w:r w:rsidRPr="005949FE">
        <w:rPr>
          <w:rFonts w:ascii="Times New Roman" w:hAnsi="Times New Roman"/>
          <w:u w:val="single"/>
        </w:rPr>
        <w:t>Radna energija</w:t>
      </w:r>
      <w:r w:rsidRPr="005949FE">
        <w:rPr>
          <w:rFonts w:ascii="Times New Roman" w:hAnsi="Times New Roman"/>
        </w:rPr>
        <w:t xml:space="preserve"> u (kWh) se određuje mjerenjem. Tarifne stavke za prodaju električne energije utvrđuju se obzirom na tarifni model mjernog mjesta i obzirom na doba dana i dijele se na: (RVT), sukladno troškovniku - po višim dnevnim tarifnim stavkama obračunava se električna energija isporučena u vremenu od 07 do 21 sat u razdoblju kada se koristi zimsko računanje vremena, odnosno od 08 do 22 sata u razdoblju kada se koristi ljetno računanje vremena, (RNT), sukladno troškovniku - po nižim dnevnim tarifnim stavkama obračunava se električna energija isporučena u vremenu od 21 do 07 sati slijedećeg dana u razdoblju kada se koristi zimsko računanje vremena, odnosno od 22 do 08 sati slijedećeg dana u razdoblju kada se koristi ljetno računanje vremena,</w:t>
      </w:r>
    </w:p>
    <w:p w:rsidR="005949FE" w:rsidRPr="005949FE" w:rsidRDefault="005949FE" w:rsidP="005949FE">
      <w:pPr>
        <w:pStyle w:val="Tijeloteksta"/>
        <w:spacing w:before="1"/>
        <w:ind w:left="218" w:right="975"/>
        <w:jc w:val="both"/>
        <w:rPr>
          <w:rFonts w:ascii="Times New Roman" w:hAnsi="Times New Roman"/>
        </w:rPr>
      </w:pPr>
      <w:r w:rsidRPr="005949FE">
        <w:rPr>
          <w:rFonts w:ascii="Times New Roman" w:hAnsi="Times New Roman"/>
        </w:rPr>
        <w:t>(RJT) - za jednotarifne stavke obračunava se električna energija isporučena na mjernom mjestu koje je opremljeno jednotarifnim brojilom.</w:t>
      </w:r>
    </w:p>
    <w:p w:rsidR="005949FE" w:rsidRPr="005949FE" w:rsidRDefault="005949FE" w:rsidP="005949FE">
      <w:pPr>
        <w:pStyle w:val="Tijeloteksta"/>
        <w:spacing w:before="10"/>
        <w:jc w:val="both"/>
        <w:rPr>
          <w:rFonts w:ascii="Times New Roman" w:hAnsi="Times New Roman"/>
          <w:sz w:val="21"/>
        </w:rPr>
      </w:pPr>
    </w:p>
    <w:p w:rsidR="005949FE" w:rsidRPr="005949FE" w:rsidRDefault="005949FE" w:rsidP="005949FE">
      <w:pPr>
        <w:pStyle w:val="Tijeloteksta"/>
        <w:tabs>
          <w:tab w:val="left" w:pos="950"/>
          <w:tab w:val="left" w:pos="1759"/>
          <w:tab w:val="left" w:pos="2529"/>
          <w:tab w:val="left" w:pos="3520"/>
          <w:tab w:val="left" w:pos="4790"/>
          <w:tab w:val="left" w:pos="5229"/>
          <w:tab w:val="left" w:pos="6575"/>
          <w:tab w:val="left" w:pos="7418"/>
          <w:tab w:val="left" w:pos="8188"/>
          <w:tab w:val="left" w:pos="9179"/>
        </w:tabs>
        <w:spacing w:before="1"/>
        <w:ind w:left="218" w:right="787"/>
        <w:jc w:val="both"/>
        <w:rPr>
          <w:rFonts w:ascii="Times New Roman" w:hAnsi="Times New Roman"/>
        </w:rPr>
      </w:pPr>
      <w:r w:rsidRPr="005949FE">
        <w:rPr>
          <w:rFonts w:ascii="Times New Roman" w:hAnsi="Times New Roman"/>
        </w:rPr>
        <w:t>Iznos</w:t>
      </w:r>
      <w:r w:rsidRPr="005949FE">
        <w:rPr>
          <w:rFonts w:ascii="Times New Roman" w:hAnsi="Times New Roman"/>
        </w:rPr>
        <w:tab/>
        <w:t>troška</w:t>
      </w:r>
      <w:r w:rsidRPr="005949FE">
        <w:rPr>
          <w:rFonts w:ascii="Times New Roman" w:hAnsi="Times New Roman"/>
        </w:rPr>
        <w:tab/>
        <w:t>radne</w:t>
      </w:r>
      <w:r w:rsidRPr="005949FE">
        <w:rPr>
          <w:rFonts w:ascii="Times New Roman" w:hAnsi="Times New Roman"/>
        </w:rPr>
        <w:tab/>
        <w:t>energije</w:t>
      </w:r>
      <w:r w:rsidRPr="005949FE">
        <w:rPr>
          <w:rFonts w:ascii="Times New Roman" w:hAnsi="Times New Roman"/>
        </w:rPr>
        <w:tab/>
        <w:t>izračunava</w:t>
      </w:r>
      <w:r w:rsidRPr="005949FE">
        <w:rPr>
          <w:rFonts w:ascii="Times New Roman" w:hAnsi="Times New Roman"/>
        </w:rPr>
        <w:tab/>
        <w:t>se</w:t>
      </w:r>
      <w:r w:rsidRPr="005949FE">
        <w:rPr>
          <w:rFonts w:ascii="Times New Roman" w:hAnsi="Times New Roman"/>
        </w:rPr>
        <w:tab/>
        <w:t>množenjem</w:t>
      </w:r>
      <w:r w:rsidRPr="005949FE">
        <w:rPr>
          <w:rFonts w:ascii="Times New Roman" w:hAnsi="Times New Roman"/>
        </w:rPr>
        <w:tab/>
        <w:t>iznosa</w:t>
      </w:r>
      <w:r w:rsidRPr="005949FE">
        <w:rPr>
          <w:rFonts w:ascii="Times New Roman" w:hAnsi="Times New Roman"/>
        </w:rPr>
        <w:tab/>
        <w:t>radne</w:t>
      </w:r>
      <w:r w:rsidRPr="005949FE">
        <w:rPr>
          <w:rFonts w:ascii="Times New Roman" w:hAnsi="Times New Roman"/>
        </w:rPr>
        <w:tab/>
        <w:t>energije</w:t>
      </w:r>
      <w:r w:rsidRPr="005949FE">
        <w:rPr>
          <w:rFonts w:ascii="Times New Roman" w:hAnsi="Times New Roman"/>
        </w:rPr>
        <w:tab/>
      </w:r>
      <w:r w:rsidRPr="005949FE">
        <w:rPr>
          <w:rFonts w:ascii="Times New Roman" w:hAnsi="Times New Roman"/>
          <w:spacing w:val="-17"/>
        </w:rPr>
        <w:t xml:space="preserve">s </w:t>
      </w:r>
      <w:r w:rsidRPr="005949FE">
        <w:rPr>
          <w:rFonts w:ascii="Times New Roman" w:hAnsi="Times New Roman"/>
        </w:rPr>
        <w:t>odgovarajućom tarifnom stavkom koja se iskazuje kao jedinična cijena radne</w:t>
      </w:r>
      <w:r w:rsidRPr="005949FE">
        <w:rPr>
          <w:rFonts w:ascii="Times New Roman" w:hAnsi="Times New Roman"/>
          <w:spacing w:val="-23"/>
        </w:rPr>
        <w:t xml:space="preserve"> </w:t>
      </w:r>
      <w:r w:rsidRPr="005949FE">
        <w:rPr>
          <w:rFonts w:ascii="Times New Roman" w:hAnsi="Times New Roman"/>
        </w:rPr>
        <w:t>energije.</w:t>
      </w:r>
    </w:p>
    <w:p w:rsidR="005949FE" w:rsidRPr="005949FE" w:rsidRDefault="005949FE" w:rsidP="005949FE">
      <w:pPr>
        <w:pStyle w:val="Tijeloteksta"/>
        <w:spacing w:before="10"/>
        <w:jc w:val="both"/>
        <w:rPr>
          <w:rFonts w:ascii="Times New Roman" w:hAnsi="Times New Roman"/>
          <w:sz w:val="21"/>
        </w:rPr>
      </w:pPr>
    </w:p>
    <w:p w:rsidR="005949FE" w:rsidRPr="005949FE" w:rsidRDefault="005949FE" w:rsidP="005949FE">
      <w:pPr>
        <w:pStyle w:val="Tijeloteksta"/>
        <w:ind w:left="218" w:right="975"/>
        <w:jc w:val="both"/>
        <w:rPr>
          <w:rFonts w:ascii="Times New Roman" w:hAnsi="Times New Roman"/>
        </w:rPr>
      </w:pPr>
      <w:r w:rsidRPr="005949FE">
        <w:rPr>
          <w:rFonts w:ascii="Times New Roman" w:hAnsi="Times New Roman"/>
        </w:rPr>
        <w:t xml:space="preserve">Angažirana snaga u doba više tarife u </w:t>
      </w:r>
      <w:r w:rsidRPr="005949FE">
        <w:rPr>
          <w:rFonts w:ascii="Times New Roman" w:hAnsi="Times New Roman"/>
          <w:spacing w:val="-3"/>
        </w:rPr>
        <w:t xml:space="preserve">kW </w:t>
      </w:r>
      <w:r w:rsidRPr="005949FE">
        <w:rPr>
          <w:rFonts w:ascii="Times New Roman" w:hAnsi="Times New Roman"/>
        </w:rPr>
        <w:t>je najveće opterećenje koje se ostvari u trajanju  od 15 minuta tijekom mjesečnog obračunskog</w:t>
      </w:r>
      <w:r w:rsidRPr="005949FE">
        <w:rPr>
          <w:rFonts w:ascii="Times New Roman" w:hAnsi="Times New Roman"/>
          <w:spacing w:val="-7"/>
        </w:rPr>
        <w:t xml:space="preserve"> </w:t>
      </w:r>
      <w:r w:rsidRPr="005949FE">
        <w:rPr>
          <w:rFonts w:ascii="Times New Roman" w:hAnsi="Times New Roman"/>
        </w:rPr>
        <w:t>razdoblja.</w:t>
      </w:r>
    </w:p>
    <w:p w:rsidR="005949FE" w:rsidRPr="005949FE" w:rsidRDefault="005949FE" w:rsidP="005949FE">
      <w:pPr>
        <w:pStyle w:val="Tijeloteksta"/>
        <w:spacing w:before="2"/>
        <w:jc w:val="both"/>
        <w:rPr>
          <w:rFonts w:ascii="Times New Roman" w:hAnsi="Times New Roman"/>
        </w:rPr>
      </w:pPr>
    </w:p>
    <w:p w:rsidR="005949FE" w:rsidRPr="005949FE" w:rsidRDefault="005949FE" w:rsidP="005949FE">
      <w:pPr>
        <w:pStyle w:val="Tijeloteksta"/>
        <w:ind w:left="218" w:right="784"/>
        <w:jc w:val="both"/>
        <w:rPr>
          <w:rFonts w:ascii="Times New Roman" w:hAnsi="Times New Roman"/>
        </w:rPr>
      </w:pPr>
      <w:r w:rsidRPr="005949FE">
        <w:rPr>
          <w:rFonts w:ascii="Times New Roman" w:hAnsi="Times New Roman"/>
        </w:rPr>
        <w:t>Opskrbljivač mora kao obračunski element predvidjeti i Naknadu za poticanje proizvodnje iz obnovljivih izvora (OIE) sukladno Uredbi o naknadama za poticanje proizvodnje električne energije iz obnovljivih izvora energije i kogeneracije („Narodne novine“ 128/13), te trošarinu za neposlovnu uporabu električne energije („Narodne novine“ 22/2013, 32/2013, 81/2013).</w:t>
      </w:r>
    </w:p>
    <w:p w:rsidR="005949FE" w:rsidRPr="005949FE" w:rsidRDefault="005949FE" w:rsidP="005949FE">
      <w:pPr>
        <w:pStyle w:val="Tijeloteksta"/>
        <w:jc w:val="both"/>
        <w:rPr>
          <w:rFonts w:ascii="Times New Roman" w:hAnsi="Times New Roman"/>
        </w:rPr>
      </w:pPr>
    </w:p>
    <w:p w:rsidR="005949FE" w:rsidRPr="005949FE" w:rsidRDefault="005949FE" w:rsidP="005949FE">
      <w:pPr>
        <w:pStyle w:val="Tijeloteksta"/>
        <w:spacing w:line="252" w:lineRule="exact"/>
        <w:ind w:left="218"/>
        <w:jc w:val="both"/>
        <w:rPr>
          <w:rFonts w:ascii="Times New Roman" w:hAnsi="Times New Roman"/>
        </w:rPr>
      </w:pPr>
      <w:r w:rsidRPr="005949FE">
        <w:rPr>
          <w:rFonts w:ascii="Times New Roman" w:hAnsi="Times New Roman"/>
        </w:rPr>
        <w:t>OBRAČUNSKO RAZDOBLJE</w:t>
      </w:r>
    </w:p>
    <w:p w:rsidR="005949FE" w:rsidRPr="005949FE" w:rsidRDefault="005949FE" w:rsidP="005949FE">
      <w:pPr>
        <w:pStyle w:val="Tijeloteksta"/>
        <w:ind w:left="218" w:right="502"/>
        <w:jc w:val="both"/>
        <w:rPr>
          <w:rFonts w:ascii="Times New Roman" w:hAnsi="Times New Roman"/>
        </w:rPr>
      </w:pPr>
      <w:r w:rsidRPr="005949FE">
        <w:rPr>
          <w:rFonts w:ascii="Times New Roman" w:hAnsi="Times New Roman"/>
        </w:rPr>
        <w:t>Obračunsko razdoblje za koje će Opskrbljivač obračunavati električnu energiju iznosi 30+/-3 dana, a na temelju stvarne potrošnje električne energije.</w:t>
      </w:r>
    </w:p>
    <w:p w:rsidR="005949FE" w:rsidRPr="005949FE" w:rsidRDefault="005949FE" w:rsidP="005949FE">
      <w:pPr>
        <w:pStyle w:val="Tijeloteksta"/>
        <w:spacing w:before="11"/>
        <w:jc w:val="both"/>
        <w:rPr>
          <w:rFonts w:ascii="Times New Roman" w:hAnsi="Times New Roman"/>
          <w:sz w:val="21"/>
        </w:rPr>
      </w:pPr>
    </w:p>
    <w:p w:rsidR="005949FE" w:rsidRPr="005949FE" w:rsidRDefault="005949FE" w:rsidP="005949FE">
      <w:pPr>
        <w:pStyle w:val="Tijeloteksta"/>
        <w:ind w:left="218"/>
        <w:jc w:val="both"/>
        <w:rPr>
          <w:rFonts w:ascii="Times New Roman" w:hAnsi="Times New Roman"/>
        </w:rPr>
      </w:pPr>
      <w:r w:rsidRPr="005949FE">
        <w:rPr>
          <w:rFonts w:ascii="Times New Roman" w:hAnsi="Times New Roman"/>
        </w:rPr>
        <w:t>CIJENE</w:t>
      </w:r>
    </w:p>
    <w:p w:rsidR="005949FE" w:rsidRPr="005949FE" w:rsidRDefault="005949FE" w:rsidP="005949FE">
      <w:pPr>
        <w:pStyle w:val="Tijeloteksta"/>
        <w:spacing w:before="1"/>
        <w:ind w:left="218" w:right="975"/>
        <w:jc w:val="both"/>
        <w:rPr>
          <w:rFonts w:ascii="Times New Roman" w:hAnsi="Times New Roman"/>
        </w:rPr>
      </w:pPr>
      <w:r w:rsidRPr="005949FE">
        <w:rPr>
          <w:rFonts w:ascii="Times New Roman" w:hAnsi="Times New Roman"/>
        </w:rPr>
        <w:t>Opskrbljivač će u troškovnik upisati jediničnu cijenu bez PDV za slijedeće obračunske elemente na osnovu kojih će se vršiti obračun opskrbe električne energije:</w:t>
      </w:r>
    </w:p>
    <w:p w:rsidR="005949FE" w:rsidRPr="005949FE" w:rsidRDefault="005949FE" w:rsidP="005949FE">
      <w:pPr>
        <w:pStyle w:val="Odlomakpopisa"/>
        <w:numPr>
          <w:ilvl w:val="1"/>
          <w:numId w:val="16"/>
        </w:numPr>
        <w:tabs>
          <w:tab w:val="left" w:pos="815"/>
          <w:tab w:val="left" w:pos="816"/>
        </w:tabs>
        <w:spacing w:line="251" w:lineRule="exact"/>
        <w:ind w:left="815"/>
        <w:jc w:val="both"/>
        <w:rPr>
          <w:rFonts w:ascii="Times New Roman" w:hAnsi="Times New Roman"/>
        </w:rPr>
      </w:pPr>
      <w:r w:rsidRPr="005949FE">
        <w:rPr>
          <w:rFonts w:ascii="Times New Roman" w:hAnsi="Times New Roman"/>
        </w:rPr>
        <w:t>radna energija u doba više dnevne tarifne stavke (RVT) u jedinici mjere</w:t>
      </w:r>
      <w:r w:rsidRPr="005949FE">
        <w:rPr>
          <w:rFonts w:ascii="Times New Roman" w:hAnsi="Times New Roman"/>
          <w:spacing w:val="-20"/>
        </w:rPr>
        <w:t xml:space="preserve"> </w:t>
      </w:r>
      <w:r w:rsidRPr="005949FE">
        <w:rPr>
          <w:rFonts w:ascii="Times New Roman" w:hAnsi="Times New Roman"/>
        </w:rPr>
        <w:t>(kn/kWh)</w:t>
      </w:r>
    </w:p>
    <w:p w:rsidR="005949FE" w:rsidRPr="005949FE" w:rsidRDefault="005949FE" w:rsidP="005949FE">
      <w:pPr>
        <w:spacing w:line="251" w:lineRule="exact"/>
        <w:jc w:val="both"/>
        <w:rPr>
          <w:rFonts w:ascii="Times New Roman" w:hAnsi="Times New Roman"/>
        </w:rPr>
        <w:sectPr w:rsidR="005949FE" w:rsidRPr="005949FE">
          <w:pgSz w:w="11900" w:h="16840"/>
          <w:pgMar w:top="760" w:right="620" w:bottom="1160" w:left="1200" w:header="0" w:footer="974" w:gutter="0"/>
          <w:cols w:space="720"/>
        </w:sectPr>
      </w:pPr>
    </w:p>
    <w:p w:rsidR="005949FE" w:rsidRPr="005949FE" w:rsidRDefault="005949FE" w:rsidP="005949FE">
      <w:pPr>
        <w:pStyle w:val="Odlomakpopisa"/>
        <w:numPr>
          <w:ilvl w:val="1"/>
          <w:numId w:val="16"/>
        </w:numPr>
        <w:tabs>
          <w:tab w:val="left" w:pos="815"/>
          <w:tab w:val="left" w:pos="816"/>
        </w:tabs>
        <w:spacing w:before="89" w:line="252" w:lineRule="exact"/>
        <w:jc w:val="both"/>
        <w:rPr>
          <w:rFonts w:ascii="Times New Roman" w:hAnsi="Times New Roman"/>
        </w:rPr>
      </w:pPr>
      <w:r w:rsidRPr="005949FE">
        <w:rPr>
          <w:rFonts w:ascii="Times New Roman" w:hAnsi="Times New Roman"/>
        </w:rPr>
        <w:lastRenderedPageBreak/>
        <w:t>angažirana snaga u doba više tarife (kW) u jedinici mjere</w:t>
      </w:r>
      <w:r w:rsidRPr="005949FE">
        <w:rPr>
          <w:rFonts w:ascii="Times New Roman" w:hAnsi="Times New Roman"/>
          <w:spacing w:val="-13"/>
        </w:rPr>
        <w:t xml:space="preserve"> </w:t>
      </w:r>
      <w:r w:rsidRPr="005949FE">
        <w:rPr>
          <w:rFonts w:ascii="Times New Roman" w:hAnsi="Times New Roman"/>
        </w:rPr>
        <w:t>(kn/kW)</w:t>
      </w:r>
    </w:p>
    <w:p w:rsidR="005949FE" w:rsidRPr="005949FE" w:rsidRDefault="005949FE" w:rsidP="005949FE">
      <w:pPr>
        <w:pStyle w:val="Odlomakpopisa"/>
        <w:numPr>
          <w:ilvl w:val="1"/>
          <w:numId w:val="16"/>
        </w:numPr>
        <w:tabs>
          <w:tab w:val="left" w:pos="815"/>
          <w:tab w:val="left" w:pos="816"/>
        </w:tabs>
        <w:spacing w:line="252" w:lineRule="exact"/>
        <w:jc w:val="both"/>
        <w:rPr>
          <w:rFonts w:ascii="Times New Roman" w:hAnsi="Times New Roman"/>
        </w:rPr>
      </w:pPr>
      <w:r w:rsidRPr="005949FE">
        <w:rPr>
          <w:rFonts w:ascii="Times New Roman" w:hAnsi="Times New Roman"/>
        </w:rPr>
        <w:t>radna energija u doba niže dnevne tarifne stavke (RNT) u jedinici mjere</w:t>
      </w:r>
      <w:r w:rsidRPr="005949FE">
        <w:rPr>
          <w:rFonts w:ascii="Times New Roman" w:hAnsi="Times New Roman"/>
          <w:spacing w:val="-21"/>
        </w:rPr>
        <w:t xml:space="preserve"> </w:t>
      </w:r>
      <w:r w:rsidRPr="005949FE">
        <w:rPr>
          <w:rFonts w:ascii="Times New Roman" w:hAnsi="Times New Roman"/>
        </w:rPr>
        <w:t>(kn/kWh)</w:t>
      </w:r>
    </w:p>
    <w:p w:rsidR="005949FE" w:rsidRPr="005949FE" w:rsidRDefault="005949FE" w:rsidP="005949FE">
      <w:pPr>
        <w:pStyle w:val="Odlomakpopisa"/>
        <w:numPr>
          <w:ilvl w:val="1"/>
          <w:numId w:val="16"/>
        </w:numPr>
        <w:tabs>
          <w:tab w:val="left" w:pos="815"/>
          <w:tab w:val="left" w:pos="816"/>
        </w:tabs>
        <w:spacing w:line="252" w:lineRule="exact"/>
        <w:jc w:val="both"/>
        <w:rPr>
          <w:rFonts w:ascii="Times New Roman" w:hAnsi="Times New Roman"/>
        </w:rPr>
      </w:pPr>
      <w:r w:rsidRPr="005949FE">
        <w:rPr>
          <w:rFonts w:ascii="Times New Roman" w:hAnsi="Times New Roman"/>
        </w:rPr>
        <w:t>radna energija jednotarifne stavke (RJT) u jedinici mjere</w:t>
      </w:r>
      <w:r w:rsidRPr="005949FE">
        <w:rPr>
          <w:rFonts w:ascii="Times New Roman" w:hAnsi="Times New Roman"/>
          <w:spacing w:val="-12"/>
        </w:rPr>
        <w:t xml:space="preserve"> </w:t>
      </w:r>
      <w:r w:rsidRPr="005949FE">
        <w:rPr>
          <w:rFonts w:ascii="Times New Roman" w:hAnsi="Times New Roman"/>
        </w:rPr>
        <w:t>(kn/kWh)</w:t>
      </w:r>
    </w:p>
    <w:p w:rsidR="005949FE" w:rsidRPr="005949FE" w:rsidRDefault="005949FE" w:rsidP="005949FE">
      <w:pPr>
        <w:pStyle w:val="Odlomakpopisa"/>
        <w:numPr>
          <w:ilvl w:val="1"/>
          <w:numId w:val="16"/>
        </w:numPr>
        <w:tabs>
          <w:tab w:val="left" w:pos="815"/>
          <w:tab w:val="left" w:pos="816"/>
        </w:tabs>
        <w:spacing w:before="2" w:line="252" w:lineRule="exact"/>
        <w:jc w:val="both"/>
        <w:rPr>
          <w:rFonts w:ascii="Times New Roman" w:hAnsi="Times New Roman"/>
        </w:rPr>
      </w:pPr>
      <w:r w:rsidRPr="005949FE">
        <w:rPr>
          <w:rFonts w:ascii="Times New Roman" w:hAnsi="Times New Roman"/>
        </w:rPr>
        <w:t>naknadu za poticanje proizvodnje iz obnovljivih izvora (OIE)</w:t>
      </w:r>
      <w:r w:rsidRPr="005949FE">
        <w:rPr>
          <w:rFonts w:ascii="Times New Roman" w:hAnsi="Times New Roman"/>
          <w:spacing w:val="-10"/>
        </w:rPr>
        <w:t xml:space="preserve"> </w:t>
      </w:r>
      <w:r w:rsidRPr="005949FE">
        <w:rPr>
          <w:rFonts w:ascii="Times New Roman" w:hAnsi="Times New Roman"/>
        </w:rPr>
        <w:t>(kn/kWh).</w:t>
      </w:r>
    </w:p>
    <w:p w:rsidR="005949FE" w:rsidRPr="005949FE" w:rsidRDefault="005949FE" w:rsidP="005949FE">
      <w:pPr>
        <w:pStyle w:val="Odlomakpopisa"/>
        <w:numPr>
          <w:ilvl w:val="1"/>
          <w:numId w:val="16"/>
        </w:numPr>
        <w:tabs>
          <w:tab w:val="left" w:pos="815"/>
          <w:tab w:val="left" w:pos="816"/>
        </w:tabs>
        <w:spacing w:line="252" w:lineRule="exact"/>
        <w:jc w:val="both"/>
        <w:rPr>
          <w:rFonts w:ascii="Times New Roman" w:hAnsi="Times New Roman"/>
        </w:rPr>
      </w:pPr>
      <w:r w:rsidRPr="005949FE">
        <w:rPr>
          <w:rFonts w:ascii="Times New Roman" w:hAnsi="Times New Roman"/>
        </w:rPr>
        <w:t>trošarina za neposlovnu uporabu električne energije</w:t>
      </w:r>
      <w:r w:rsidRPr="005949FE">
        <w:rPr>
          <w:rFonts w:ascii="Times New Roman" w:hAnsi="Times New Roman"/>
          <w:spacing w:val="-3"/>
        </w:rPr>
        <w:t xml:space="preserve"> </w:t>
      </w:r>
      <w:r w:rsidRPr="005949FE">
        <w:rPr>
          <w:rFonts w:ascii="Times New Roman" w:hAnsi="Times New Roman"/>
        </w:rPr>
        <w:t>(kn/kWh)</w:t>
      </w:r>
    </w:p>
    <w:p w:rsidR="005949FE" w:rsidRPr="005949FE" w:rsidRDefault="005949FE" w:rsidP="005949FE">
      <w:pPr>
        <w:pStyle w:val="Tijeloteksta"/>
        <w:jc w:val="both"/>
        <w:rPr>
          <w:rFonts w:ascii="Times New Roman" w:hAnsi="Times New Roman"/>
          <w:sz w:val="26"/>
        </w:rPr>
      </w:pPr>
    </w:p>
    <w:p w:rsidR="005949FE" w:rsidRPr="005949FE" w:rsidRDefault="005949FE" w:rsidP="005949FE">
      <w:pPr>
        <w:pStyle w:val="Tijeloteksta"/>
        <w:spacing w:before="206"/>
        <w:ind w:left="218" w:right="787"/>
        <w:jc w:val="both"/>
        <w:rPr>
          <w:rFonts w:ascii="Times New Roman" w:hAnsi="Times New Roman"/>
        </w:rPr>
      </w:pPr>
      <w:r w:rsidRPr="005949FE">
        <w:rPr>
          <w:rFonts w:ascii="Times New Roman" w:hAnsi="Times New Roman"/>
        </w:rPr>
        <w:t>Jedinična cijena obračunskih elemenata treba sadržavati sve troškove Opskrbljivača na mjestu isporuke električne energije. Iznos naknade za poticanje proizvodnje iz obnovljivih izvora energije</w:t>
      </w:r>
    </w:p>
    <w:p w:rsidR="005949FE" w:rsidRPr="005949FE" w:rsidRDefault="005949FE" w:rsidP="005949FE">
      <w:pPr>
        <w:pStyle w:val="Tijeloteksta"/>
        <w:spacing w:before="1"/>
        <w:jc w:val="both"/>
        <w:rPr>
          <w:rFonts w:ascii="Times New Roman" w:hAnsi="Times New Roman"/>
        </w:rPr>
      </w:pPr>
    </w:p>
    <w:p w:rsidR="005949FE" w:rsidRPr="005949FE" w:rsidRDefault="005949FE" w:rsidP="005949FE">
      <w:pPr>
        <w:pStyle w:val="Tijeloteksta"/>
        <w:ind w:left="218" w:right="784"/>
        <w:jc w:val="both"/>
        <w:rPr>
          <w:rFonts w:ascii="Times New Roman" w:hAnsi="Times New Roman"/>
        </w:rPr>
      </w:pPr>
      <w:r w:rsidRPr="005949FE">
        <w:rPr>
          <w:rFonts w:ascii="Times New Roman" w:hAnsi="Times New Roman"/>
        </w:rPr>
        <w:t>(OIE) i Trošarina za neposlovnu uporabe električne energije prikazuju se odvojeno od cijene ostalih obračunskih elemenata, kao zasebna stavka u troškovniku.</w:t>
      </w:r>
    </w:p>
    <w:p w:rsidR="005949FE" w:rsidRPr="005949FE" w:rsidRDefault="005949FE" w:rsidP="005949FE">
      <w:pPr>
        <w:pStyle w:val="Tijeloteksta"/>
        <w:spacing w:before="11"/>
        <w:jc w:val="both"/>
        <w:rPr>
          <w:rFonts w:ascii="Times New Roman" w:hAnsi="Times New Roman"/>
          <w:sz w:val="21"/>
        </w:rPr>
      </w:pPr>
    </w:p>
    <w:p w:rsidR="005949FE" w:rsidRPr="005949FE" w:rsidRDefault="005949FE" w:rsidP="005949FE">
      <w:pPr>
        <w:pStyle w:val="Tijeloteksta"/>
        <w:ind w:left="218" w:right="786"/>
        <w:jc w:val="both"/>
        <w:rPr>
          <w:rFonts w:ascii="Times New Roman" w:hAnsi="Times New Roman"/>
        </w:rPr>
      </w:pPr>
      <w:r w:rsidRPr="005949FE">
        <w:rPr>
          <w:rFonts w:ascii="Times New Roman" w:hAnsi="Times New Roman"/>
        </w:rPr>
        <w:t>Opskrbljivač će u troškovnik upisati ukupni iznos troška radne energije izračunat množenjem ukupnog iznosa radne energije po tarifnim stavkama s jediničnom cijenom odgovarajuće tarifne stavke, ukupni</w:t>
      </w:r>
    </w:p>
    <w:p w:rsidR="005949FE" w:rsidRPr="005949FE" w:rsidRDefault="005949FE" w:rsidP="005949FE">
      <w:pPr>
        <w:pStyle w:val="Tijeloteksta"/>
        <w:spacing w:before="1"/>
        <w:jc w:val="both"/>
        <w:rPr>
          <w:rFonts w:ascii="Times New Roman" w:hAnsi="Times New Roman"/>
        </w:rPr>
      </w:pPr>
    </w:p>
    <w:p w:rsidR="005949FE" w:rsidRPr="005949FE" w:rsidRDefault="005949FE" w:rsidP="005949FE">
      <w:pPr>
        <w:pStyle w:val="Tijeloteksta"/>
        <w:ind w:left="218" w:right="784"/>
        <w:jc w:val="both"/>
        <w:rPr>
          <w:rFonts w:ascii="Times New Roman" w:hAnsi="Times New Roman"/>
        </w:rPr>
      </w:pPr>
      <w:r w:rsidRPr="005949FE">
        <w:rPr>
          <w:rFonts w:ascii="Times New Roman" w:hAnsi="Times New Roman"/>
        </w:rPr>
        <w:t>iznos troška za naknadu za poticanje proizvodnje iz obnovljivih izvora energije (OIE) izračunat množenjem ukupnog iznosa radne energije za sve tarifne stavke sa jediničnom cijenom naknade, te ukupan iznos trošarine za neposlovnu uporabu električne energije izračunat množenjem ukupnog iznosa radne energije za sve tarifne stavke sa jediničnom cijenom</w:t>
      </w:r>
      <w:r w:rsidRPr="005949FE">
        <w:rPr>
          <w:rFonts w:ascii="Times New Roman" w:hAnsi="Times New Roman"/>
          <w:spacing w:val="-2"/>
        </w:rPr>
        <w:t xml:space="preserve"> </w:t>
      </w:r>
      <w:r w:rsidRPr="005949FE">
        <w:rPr>
          <w:rFonts w:ascii="Times New Roman" w:hAnsi="Times New Roman"/>
        </w:rPr>
        <w:t>naknade.</w:t>
      </w:r>
    </w:p>
    <w:p w:rsidR="005949FE" w:rsidRPr="005949FE" w:rsidRDefault="005949FE" w:rsidP="005949FE">
      <w:pPr>
        <w:pStyle w:val="Tijeloteksta"/>
        <w:spacing w:before="10"/>
        <w:jc w:val="both"/>
        <w:rPr>
          <w:rFonts w:ascii="Times New Roman" w:hAnsi="Times New Roman"/>
          <w:sz w:val="21"/>
        </w:rPr>
      </w:pPr>
    </w:p>
    <w:p w:rsidR="005949FE" w:rsidRPr="005949FE" w:rsidRDefault="005949FE" w:rsidP="005949FE">
      <w:pPr>
        <w:pStyle w:val="Tijeloteksta"/>
        <w:ind w:left="218"/>
        <w:jc w:val="both"/>
        <w:rPr>
          <w:rFonts w:ascii="Times New Roman" w:hAnsi="Times New Roman"/>
        </w:rPr>
      </w:pPr>
      <w:r w:rsidRPr="005949FE">
        <w:rPr>
          <w:rFonts w:ascii="Times New Roman" w:hAnsi="Times New Roman"/>
        </w:rPr>
        <w:t>Pri obračunu preuzete radne energije njihove veličine zaokružuju se na cijele brojeve.</w:t>
      </w:r>
    </w:p>
    <w:p w:rsidR="005949FE" w:rsidRPr="005949FE" w:rsidRDefault="005949FE" w:rsidP="005949FE">
      <w:pPr>
        <w:pStyle w:val="Tijeloteksta"/>
        <w:spacing w:before="1"/>
        <w:jc w:val="both"/>
        <w:rPr>
          <w:rFonts w:ascii="Times New Roman" w:hAnsi="Times New Roman"/>
        </w:rPr>
      </w:pPr>
    </w:p>
    <w:p w:rsidR="005949FE" w:rsidRPr="005949FE" w:rsidRDefault="005949FE" w:rsidP="005949FE">
      <w:pPr>
        <w:pStyle w:val="Tijeloteksta"/>
        <w:ind w:left="218" w:right="786"/>
        <w:jc w:val="both"/>
        <w:rPr>
          <w:rFonts w:ascii="Times New Roman" w:hAnsi="Times New Roman"/>
        </w:rPr>
      </w:pPr>
      <w:r w:rsidRPr="005949FE">
        <w:rPr>
          <w:rFonts w:ascii="Times New Roman" w:hAnsi="Times New Roman"/>
        </w:rPr>
        <w:t xml:space="preserve">Cijene stavki iz Troškovnika ne sadrže tarifne stavke za korištenje mreže/sustava sadržane u člancima 36. – 39. </w:t>
      </w:r>
      <w:r w:rsidRPr="00E432BE">
        <w:rPr>
          <w:rFonts w:ascii="Times New Roman" w:hAnsi="Times New Roman"/>
        </w:rPr>
        <w:t>Općih uvjeta za korištenje mreže i opskrbu električnom energijom</w:t>
      </w:r>
      <w:r w:rsidRPr="005949FE">
        <w:rPr>
          <w:rFonts w:ascii="Times New Roman" w:hAnsi="Times New Roman"/>
        </w:rPr>
        <w:t xml:space="preserve"> („Narodne novine“ 85/15), niti druga davanja koja određuju nadležne državne institucije.</w:t>
      </w:r>
    </w:p>
    <w:p w:rsidR="005949FE" w:rsidRPr="005949FE" w:rsidRDefault="005949FE" w:rsidP="005949FE">
      <w:pPr>
        <w:pStyle w:val="Tijeloteksta"/>
        <w:spacing w:before="1"/>
        <w:jc w:val="both"/>
        <w:rPr>
          <w:rFonts w:ascii="Times New Roman" w:hAnsi="Times New Roman"/>
        </w:rPr>
      </w:pPr>
    </w:p>
    <w:p w:rsidR="005949FE" w:rsidRPr="005949FE" w:rsidRDefault="005949FE" w:rsidP="005949FE">
      <w:pPr>
        <w:pStyle w:val="Tijeloteksta"/>
        <w:ind w:left="218" w:right="784"/>
        <w:jc w:val="both"/>
        <w:rPr>
          <w:rFonts w:ascii="Times New Roman" w:hAnsi="Times New Roman"/>
        </w:rPr>
      </w:pPr>
      <w:r w:rsidRPr="005949FE">
        <w:rPr>
          <w:rFonts w:ascii="Times New Roman" w:hAnsi="Times New Roman"/>
        </w:rPr>
        <w:t>Opskrbljivač ima pravo promijeniti cijenu obračunskih elemenata električne energije ako nakon sklapanja ugovora dođe do povećanja godišnjeg indeksa potrošačkih cijena kojeg utvrđuje Državni zavod za statistiku za svaku kalendarsku godinu i objavljuje na svojoj Internetskoj stranici.</w:t>
      </w:r>
    </w:p>
    <w:p w:rsidR="005949FE" w:rsidRPr="005949FE" w:rsidRDefault="005949FE" w:rsidP="005949FE">
      <w:pPr>
        <w:pStyle w:val="Tijeloteksta"/>
        <w:spacing w:before="11"/>
        <w:jc w:val="both"/>
        <w:rPr>
          <w:rFonts w:ascii="Times New Roman" w:hAnsi="Times New Roman"/>
          <w:sz w:val="21"/>
        </w:rPr>
      </w:pPr>
    </w:p>
    <w:p w:rsidR="005949FE" w:rsidRPr="005949FE" w:rsidRDefault="005949FE" w:rsidP="005949FE">
      <w:pPr>
        <w:pStyle w:val="Tijeloteksta"/>
        <w:ind w:left="218" w:right="784"/>
        <w:jc w:val="both"/>
        <w:rPr>
          <w:rFonts w:ascii="Times New Roman" w:hAnsi="Times New Roman"/>
        </w:rPr>
      </w:pPr>
      <w:r w:rsidRPr="005949FE">
        <w:rPr>
          <w:rFonts w:ascii="Times New Roman" w:hAnsi="Times New Roman"/>
        </w:rPr>
        <w:t>Opskrbljivač je ovlašten promijeniti cijenu obračunskih elemenata jednom godišnje i to u siječnju svake kalendarske godine, tako promijenjena cijena električne energije počinje se primjenjivati istekom roka od 15 dana od objave o promjeni cijene obračunskih elemenata na internetskoj stranici Opskrbljivača.</w:t>
      </w:r>
    </w:p>
    <w:p w:rsidR="005949FE" w:rsidRPr="005949FE" w:rsidRDefault="005949FE" w:rsidP="005949FE">
      <w:pPr>
        <w:pStyle w:val="Tijeloteksta"/>
        <w:ind w:left="218" w:right="784"/>
        <w:jc w:val="both"/>
        <w:rPr>
          <w:rFonts w:ascii="Times New Roman" w:hAnsi="Times New Roman"/>
        </w:rPr>
      </w:pPr>
      <w:r w:rsidRPr="005949FE">
        <w:rPr>
          <w:rFonts w:ascii="Times New Roman" w:hAnsi="Times New Roman"/>
        </w:rPr>
        <w:t>Ako donese odluku o promjeni cijena obračunskih elemenata Opskrbljivač je dužan o tome obavijestiti Naručitelja pisanim putem, do kraja siječnja kalendarske godine u kojoj je izvršena promjena cijena, a najmanje 15 dana prije početka primjene promijenjenih cijena obračunskih</w:t>
      </w:r>
      <w:r w:rsidRPr="005949FE">
        <w:rPr>
          <w:rFonts w:ascii="Times New Roman" w:hAnsi="Times New Roman"/>
          <w:spacing w:val="-1"/>
        </w:rPr>
        <w:t xml:space="preserve"> </w:t>
      </w:r>
      <w:r w:rsidRPr="005949FE">
        <w:rPr>
          <w:rFonts w:ascii="Times New Roman" w:hAnsi="Times New Roman"/>
        </w:rPr>
        <w:t>elemenata.</w:t>
      </w:r>
    </w:p>
    <w:p w:rsidR="005949FE" w:rsidRPr="005949FE" w:rsidRDefault="005949FE" w:rsidP="005949FE">
      <w:pPr>
        <w:pStyle w:val="Tijeloteksta"/>
        <w:spacing w:before="1"/>
        <w:jc w:val="both"/>
        <w:rPr>
          <w:rFonts w:ascii="Times New Roman" w:hAnsi="Times New Roman"/>
        </w:rPr>
      </w:pPr>
    </w:p>
    <w:p w:rsidR="005949FE" w:rsidRPr="005949FE" w:rsidRDefault="005949FE" w:rsidP="005949FE">
      <w:pPr>
        <w:pStyle w:val="Tijeloteksta"/>
        <w:ind w:left="218" w:right="784"/>
        <w:jc w:val="both"/>
        <w:rPr>
          <w:rFonts w:ascii="Times New Roman" w:hAnsi="Times New Roman"/>
        </w:rPr>
      </w:pPr>
      <w:r w:rsidRPr="005949FE">
        <w:rPr>
          <w:rFonts w:ascii="Times New Roman" w:hAnsi="Times New Roman"/>
        </w:rPr>
        <w:t>Iznos promijenjene cijene obračunskih elemenata jednak je umnošku ugovorene cijene obračunskih elemenata sa vrijednošću godišnjeg indeksa potrošačkih cijena u odnosu na prethodnu godinu, kojeg Državni zavod za statistiku objavi do kraja siječnja godine u kojoj se obavlja indeksacija, za prethodnu godinu, podijeljenim sa brojem 100.</w:t>
      </w:r>
    </w:p>
    <w:p w:rsidR="005949FE" w:rsidRPr="005949FE" w:rsidRDefault="005949FE" w:rsidP="005949FE">
      <w:pPr>
        <w:pStyle w:val="Tijeloteksta"/>
        <w:jc w:val="both"/>
        <w:rPr>
          <w:rFonts w:ascii="Times New Roman" w:hAnsi="Times New Roman"/>
        </w:rPr>
      </w:pPr>
    </w:p>
    <w:p w:rsidR="005949FE" w:rsidRPr="005949FE" w:rsidRDefault="005949FE" w:rsidP="005949FE">
      <w:pPr>
        <w:pStyle w:val="Tijeloteksta"/>
        <w:ind w:left="218" w:right="787"/>
        <w:jc w:val="both"/>
        <w:rPr>
          <w:rFonts w:ascii="Times New Roman" w:hAnsi="Times New Roman"/>
        </w:rPr>
      </w:pPr>
      <w:r w:rsidRPr="005949FE">
        <w:rPr>
          <w:rFonts w:ascii="Times New Roman" w:hAnsi="Times New Roman"/>
        </w:rPr>
        <w:t>Ako Naručitelj nije suglasan sa promjenama cijena obračunskih elemenata, dužan je u roku od 15 dana od dana objave namjeravane promjene cijena obavijestiti Opskrbljivača pisanim putem o raskidu ugovora.</w:t>
      </w:r>
    </w:p>
    <w:p w:rsidR="00873B92" w:rsidRPr="005949FE" w:rsidRDefault="00873B92" w:rsidP="005949FE">
      <w:pPr>
        <w:jc w:val="both"/>
        <w:rPr>
          <w:rFonts w:ascii="Times New Roman" w:hAnsi="Times New Roman"/>
        </w:rPr>
      </w:pPr>
      <w:bookmarkStart w:id="0" w:name="_GoBack"/>
      <w:bookmarkEnd w:id="0"/>
    </w:p>
    <w:sectPr w:rsidR="00873B92" w:rsidRPr="00594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31577"/>
    <w:multiLevelType w:val="hybridMultilevel"/>
    <w:tmpl w:val="8CB0C002"/>
    <w:lvl w:ilvl="0" w:tplc="72081D66">
      <w:start w:val="1"/>
      <w:numFmt w:val="ordinal"/>
      <w:lvlText w:val="1.%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4C3980"/>
    <w:multiLevelType w:val="hybridMultilevel"/>
    <w:tmpl w:val="39421F16"/>
    <w:lvl w:ilvl="0" w:tplc="007AAD22">
      <w:numFmt w:val="bullet"/>
      <w:lvlText w:val="-"/>
      <w:lvlJc w:val="left"/>
      <w:pPr>
        <w:ind w:left="340" w:hanging="137"/>
      </w:pPr>
      <w:rPr>
        <w:rFonts w:ascii="Arial" w:eastAsia="Arial" w:hAnsi="Arial" w:cs="Arial" w:hint="default"/>
        <w:w w:val="100"/>
        <w:sz w:val="22"/>
        <w:szCs w:val="22"/>
        <w:lang w:val="hr" w:eastAsia="hr" w:bidi="hr"/>
      </w:rPr>
    </w:lvl>
    <w:lvl w:ilvl="1" w:tplc="7F6A8146">
      <w:numFmt w:val="bullet"/>
      <w:lvlText w:val="-"/>
      <w:lvlJc w:val="left"/>
      <w:pPr>
        <w:ind w:left="816" w:hanging="360"/>
      </w:pPr>
      <w:rPr>
        <w:rFonts w:ascii="Arial" w:eastAsia="Arial" w:hAnsi="Arial" w:cs="Arial" w:hint="default"/>
        <w:w w:val="100"/>
        <w:sz w:val="22"/>
        <w:szCs w:val="22"/>
        <w:lang w:val="hr" w:eastAsia="hr" w:bidi="hr"/>
      </w:rPr>
    </w:lvl>
    <w:lvl w:ilvl="2" w:tplc="C9BA843A">
      <w:numFmt w:val="bullet"/>
      <w:lvlText w:val=""/>
      <w:lvlJc w:val="left"/>
      <w:pPr>
        <w:ind w:left="938" w:hanging="348"/>
      </w:pPr>
      <w:rPr>
        <w:rFonts w:ascii="Symbol" w:eastAsia="Symbol" w:hAnsi="Symbol" w:cs="Symbol" w:hint="default"/>
        <w:w w:val="100"/>
        <w:position w:val="1"/>
        <w:sz w:val="22"/>
        <w:szCs w:val="22"/>
        <w:lang w:val="hr" w:eastAsia="hr" w:bidi="hr"/>
      </w:rPr>
    </w:lvl>
    <w:lvl w:ilvl="3" w:tplc="09541D44">
      <w:numFmt w:val="bullet"/>
      <w:lvlText w:val="•"/>
      <w:lvlJc w:val="left"/>
      <w:pPr>
        <w:ind w:left="2082" w:hanging="348"/>
      </w:pPr>
      <w:rPr>
        <w:rFonts w:hint="default"/>
        <w:lang w:val="hr" w:eastAsia="hr" w:bidi="hr"/>
      </w:rPr>
    </w:lvl>
    <w:lvl w:ilvl="4" w:tplc="0678A446">
      <w:numFmt w:val="bullet"/>
      <w:lvlText w:val="•"/>
      <w:lvlJc w:val="left"/>
      <w:pPr>
        <w:ind w:left="3225" w:hanging="348"/>
      </w:pPr>
      <w:rPr>
        <w:rFonts w:hint="default"/>
        <w:lang w:val="hr" w:eastAsia="hr" w:bidi="hr"/>
      </w:rPr>
    </w:lvl>
    <w:lvl w:ilvl="5" w:tplc="87684170">
      <w:numFmt w:val="bullet"/>
      <w:lvlText w:val="•"/>
      <w:lvlJc w:val="left"/>
      <w:pPr>
        <w:ind w:left="4367" w:hanging="348"/>
      </w:pPr>
      <w:rPr>
        <w:rFonts w:hint="default"/>
        <w:lang w:val="hr" w:eastAsia="hr" w:bidi="hr"/>
      </w:rPr>
    </w:lvl>
    <w:lvl w:ilvl="6" w:tplc="F74EF434">
      <w:numFmt w:val="bullet"/>
      <w:lvlText w:val="•"/>
      <w:lvlJc w:val="left"/>
      <w:pPr>
        <w:ind w:left="5510" w:hanging="348"/>
      </w:pPr>
      <w:rPr>
        <w:rFonts w:hint="default"/>
        <w:lang w:val="hr" w:eastAsia="hr" w:bidi="hr"/>
      </w:rPr>
    </w:lvl>
    <w:lvl w:ilvl="7" w:tplc="39F4D744">
      <w:numFmt w:val="bullet"/>
      <w:lvlText w:val="•"/>
      <w:lvlJc w:val="left"/>
      <w:pPr>
        <w:ind w:left="6652" w:hanging="348"/>
      </w:pPr>
      <w:rPr>
        <w:rFonts w:hint="default"/>
        <w:lang w:val="hr" w:eastAsia="hr" w:bidi="hr"/>
      </w:rPr>
    </w:lvl>
    <w:lvl w:ilvl="8" w:tplc="CEA2BA78">
      <w:numFmt w:val="bullet"/>
      <w:lvlText w:val="•"/>
      <w:lvlJc w:val="left"/>
      <w:pPr>
        <w:ind w:left="7795" w:hanging="348"/>
      </w:pPr>
      <w:rPr>
        <w:rFonts w:hint="default"/>
        <w:lang w:val="hr" w:eastAsia="hr" w:bidi="hr"/>
      </w:rPr>
    </w:lvl>
  </w:abstractNum>
  <w:abstractNum w:abstractNumId="2" w15:restartNumberingAfterBreak="0">
    <w:nsid w:val="3AAA3A42"/>
    <w:multiLevelType w:val="hybridMultilevel"/>
    <w:tmpl w:val="CFDA90A0"/>
    <w:lvl w:ilvl="0" w:tplc="C69E3AE2">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53D78BC"/>
    <w:multiLevelType w:val="hybridMultilevel"/>
    <w:tmpl w:val="67F2451E"/>
    <w:lvl w:ilvl="0" w:tplc="67B0470A">
      <w:start w:val="1"/>
      <w:numFmt w:val="ordinal"/>
      <w:lvlText w:val="1.%1"/>
      <w:lvlJc w:val="right"/>
      <w:pPr>
        <w:ind w:left="720" w:hanging="360"/>
      </w:pPr>
      <w:rPr>
        <w:rFonts w:hint="default"/>
        <w:color w:val="4472C4" w:themeColor="accent5"/>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0"/>
  </w:num>
  <w:num w:numId="14">
    <w:abstractNumId w:val="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FE"/>
    <w:rsid w:val="00363CAD"/>
    <w:rsid w:val="003A31BD"/>
    <w:rsid w:val="005949FE"/>
    <w:rsid w:val="00873B92"/>
    <w:rsid w:val="00AD312C"/>
    <w:rsid w:val="00B70D6A"/>
    <w:rsid w:val="00C055E8"/>
    <w:rsid w:val="00E432BE"/>
    <w:rsid w:val="00F80D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26880-D63D-4EB8-941F-5CF645DC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49FE"/>
    <w:pPr>
      <w:widowControl w:val="0"/>
      <w:autoSpaceDE w:val="0"/>
      <w:autoSpaceDN w:val="0"/>
      <w:spacing w:after="0" w:line="240" w:lineRule="auto"/>
    </w:pPr>
    <w:rPr>
      <w:rFonts w:ascii="Arial" w:eastAsia="Arial" w:hAnsi="Arial" w:cs="Times New Roman"/>
      <w:lang w:val="hr" w:eastAsia="hr"/>
    </w:rPr>
  </w:style>
  <w:style w:type="paragraph" w:styleId="Naslov1">
    <w:name w:val="heading 1"/>
    <w:basedOn w:val="Normal"/>
    <w:next w:val="Normal"/>
    <w:link w:val="Naslov1Char"/>
    <w:autoRedefine/>
    <w:uiPriority w:val="1"/>
    <w:qFormat/>
    <w:rsid w:val="005949FE"/>
    <w:pPr>
      <w:keepNext/>
      <w:keepLines/>
      <w:spacing w:before="87"/>
      <w:ind w:right="217"/>
      <w:jc w:val="both"/>
      <w:outlineLvl w:val="0"/>
    </w:pPr>
    <w:rPr>
      <w:rFonts w:ascii="Times New Roman" w:hAnsi="Times New Roman"/>
      <w:b/>
      <w:bCs/>
      <w:color w:val="000000" w:themeColor="text1"/>
      <w:sz w:val="24"/>
      <w:szCs w:val="28"/>
    </w:rPr>
  </w:style>
  <w:style w:type="paragraph" w:styleId="Naslov2">
    <w:name w:val="heading 2"/>
    <w:basedOn w:val="Normal"/>
    <w:next w:val="Normal"/>
    <w:link w:val="Naslov2Char"/>
    <w:autoRedefine/>
    <w:uiPriority w:val="9"/>
    <w:unhideWhenUsed/>
    <w:qFormat/>
    <w:rsid w:val="00F80D9F"/>
    <w:pPr>
      <w:overflowPunct w:val="0"/>
      <w:adjustRightInd w:val="0"/>
      <w:jc w:val="both"/>
      <w:textAlignment w:val="baseline"/>
      <w:outlineLvl w:val="1"/>
    </w:pPr>
    <w:rPr>
      <w:rFonts w:eastAsia="Times New Roman"/>
      <w:b/>
      <w:bCs/>
      <w:lang w:eastAsia="hr-HR"/>
    </w:rPr>
  </w:style>
  <w:style w:type="paragraph" w:styleId="Naslov3">
    <w:name w:val="heading 3"/>
    <w:basedOn w:val="Normal"/>
    <w:next w:val="Normal"/>
    <w:link w:val="Naslov3Char"/>
    <w:autoRedefine/>
    <w:qFormat/>
    <w:rsid w:val="00F80D9F"/>
    <w:pPr>
      <w:keepNext/>
      <w:spacing w:before="240" w:after="60"/>
      <w:outlineLvl w:val="2"/>
    </w:pPr>
    <w:rPr>
      <w:rFonts w:cs="Arial"/>
      <w:b/>
      <w:bCs/>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F80D9F"/>
    <w:rPr>
      <w:rFonts w:ascii="Times New Roman" w:eastAsia="Times New Roman" w:hAnsi="Times New Roman" w:cs="Times New Roman"/>
      <w:b/>
      <w:bCs/>
      <w:lang w:eastAsia="hr-HR"/>
    </w:rPr>
  </w:style>
  <w:style w:type="character" w:customStyle="1" w:styleId="Naslov1Char">
    <w:name w:val="Naslov 1 Char"/>
    <w:link w:val="Naslov1"/>
    <w:uiPriority w:val="1"/>
    <w:rsid w:val="005949FE"/>
    <w:rPr>
      <w:rFonts w:ascii="Times New Roman" w:eastAsia="Arial" w:hAnsi="Times New Roman" w:cs="Times New Roman"/>
      <w:b/>
      <w:bCs/>
      <w:color w:val="000000" w:themeColor="text1"/>
      <w:sz w:val="24"/>
      <w:szCs w:val="28"/>
      <w:lang w:val="hr" w:eastAsia="hr"/>
    </w:rPr>
  </w:style>
  <w:style w:type="character" w:customStyle="1" w:styleId="Naslov3Char">
    <w:name w:val="Naslov 3 Char"/>
    <w:basedOn w:val="Zadanifontodlomka"/>
    <w:link w:val="Naslov3"/>
    <w:rsid w:val="00F80D9F"/>
    <w:rPr>
      <w:rFonts w:ascii="Times New Roman" w:hAnsi="Times New Roman" w:cs="Arial"/>
      <w:b/>
      <w:bCs/>
      <w:szCs w:val="26"/>
    </w:rPr>
  </w:style>
  <w:style w:type="paragraph" w:styleId="Podnaslov">
    <w:name w:val="Subtitle"/>
    <w:basedOn w:val="Normal"/>
    <w:next w:val="Normal"/>
    <w:link w:val="PodnaslovChar"/>
    <w:autoRedefine/>
    <w:qFormat/>
    <w:rsid w:val="00F80D9F"/>
    <w:pPr>
      <w:numPr>
        <w:ilvl w:val="1"/>
      </w:numPr>
      <w:spacing w:after="240"/>
    </w:pPr>
    <w:rPr>
      <w:rFonts w:eastAsia="SimSun"/>
      <w:b/>
      <w:color w:val="404040"/>
      <w:szCs w:val="30"/>
      <w:lang w:eastAsia="hr-HR"/>
    </w:rPr>
  </w:style>
  <w:style w:type="character" w:customStyle="1" w:styleId="PodnaslovChar">
    <w:name w:val="Podnaslov Char"/>
    <w:basedOn w:val="Zadanifontodlomka"/>
    <w:link w:val="Podnaslov"/>
    <w:rsid w:val="00F80D9F"/>
    <w:rPr>
      <w:rFonts w:ascii="Times New Roman" w:eastAsia="SimSun" w:hAnsi="Times New Roman" w:cs="Times New Roman"/>
      <w:b/>
      <w:color w:val="404040"/>
      <w:szCs w:val="30"/>
      <w:lang w:eastAsia="hr-HR"/>
    </w:rPr>
  </w:style>
  <w:style w:type="paragraph" w:customStyle="1" w:styleId="Odlomakpopisa1">
    <w:name w:val="Odlomak popisa1"/>
    <w:aliases w:val="Heading 12,heading 1,naslov 1,Naslov 12,Graf"/>
    <w:basedOn w:val="Normal"/>
    <w:link w:val="ListParagraphChar"/>
    <w:autoRedefine/>
    <w:qFormat/>
    <w:rsid w:val="00F80D9F"/>
    <w:rPr>
      <w:rFonts w:cstheme="minorBidi"/>
      <w:b/>
      <w:szCs w:val="24"/>
    </w:rPr>
  </w:style>
  <w:style w:type="character" w:customStyle="1" w:styleId="ListParagraphChar">
    <w:name w:val="List Paragraph Char"/>
    <w:aliases w:val="Heading 12 Char,heading 1 Char,naslov 1 Char,Naslov 12 Char,Graf Char,Odlomak popisa Char,TG lista Char,Paragraph Char,List Paragraph Red Char,lp1 Char,Paragraphe de liste PBLH Char,Graph &amp; Table tite Char,Normal bullet 2 Char,2 Char"/>
    <w:link w:val="Odlomakpopisa1"/>
    <w:qFormat/>
    <w:locked/>
    <w:rsid w:val="00F80D9F"/>
    <w:rPr>
      <w:rFonts w:ascii="Times New Roman" w:hAnsi="Times New Roman"/>
      <w:b/>
      <w:szCs w:val="24"/>
    </w:rPr>
  </w:style>
  <w:style w:type="paragraph" w:styleId="Bezproreda">
    <w:name w:val="No Spacing"/>
    <w:autoRedefine/>
    <w:uiPriority w:val="1"/>
    <w:qFormat/>
    <w:rsid w:val="005949FE"/>
    <w:pPr>
      <w:spacing w:after="0" w:line="240" w:lineRule="auto"/>
      <w:ind w:left="218"/>
    </w:pPr>
    <w:rPr>
      <w:rFonts w:ascii="Times New Roman" w:hAnsi="Times New Roman" w:cs="Times New Roman"/>
      <w:b/>
    </w:rPr>
  </w:style>
  <w:style w:type="paragraph" w:styleId="Tijeloteksta">
    <w:name w:val="Body Text"/>
    <w:basedOn w:val="Normal"/>
    <w:link w:val="TijelotekstaChar"/>
    <w:uiPriority w:val="1"/>
    <w:qFormat/>
    <w:rsid w:val="005949FE"/>
  </w:style>
  <w:style w:type="character" w:customStyle="1" w:styleId="TijelotekstaChar">
    <w:name w:val="Tijelo teksta Char"/>
    <w:basedOn w:val="Zadanifontodlomka"/>
    <w:link w:val="Tijeloteksta"/>
    <w:uiPriority w:val="1"/>
    <w:rsid w:val="005949FE"/>
    <w:rPr>
      <w:rFonts w:ascii="Arial" w:eastAsia="Arial" w:hAnsi="Arial" w:cs="Times New Roman"/>
      <w:lang w:val="hr" w:eastAsia="hr"/>
    </w:rPr>
  </w:style>
  <w:style w:type="paragraph" w:styleId="Odlomakpopisa">
    <w:name w:val="List Paragraph"/>
    <w:basedOn w:val="Normal"/>
    <w:uiPriority w:val="1"/>
    <w:qFormat/>
    <w:rsid w:val="005949FE"/>
    <w:pPr>
      <w:ind w:left="218" w:hanging="3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923</Words>
  <Characters>5263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2</cp:revision>
  <dcterms:created xsi:type="dcterms:W3CDTF">2018-08-09T12:06:00Z</dcterms:created>
  <dcterms:modified xsi:type="dcterms:W3CDTF">2018-08-09T12:10:00Z</dcterms:modified>
</cp:coreProperties>
</file>